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A9DC2" w14:textId="77777777" w:rsidR="004F022E" w:rsidRPr="00DE2813" w:rsidRDefault="004F022E" w:rsidP="00097FB6">
      <w:pPr>
        <w:tabs>
          <w:tab w:val="left" w:pos="3640"/>
        </w:tabs>
        <w:spacing w:line="360" w:lineRule="auto"/>
        <w:jc w:val="center"/>
        <w:rPr>
          <w:rFonts w:ascii="Times New Roman" w:hAnsi="Times New Roman"/>
          <w:lang w:val="es-ES_tradnl"/>
        </w:rPr>
      </w:pPr>
      <w:bookmarkStart w:id="0" w:name="_GoBack"/>
      <w:r w:rsidRPr="00DE2813">
        <w:rPr>
          <w:rFonts w:ascii="Times New Roman" w:hAnsi="Times New Roman"/>
          <w:lang w:val="es-ES_tradnl"/>
        </w:rPr>
        <w:t>Documentación del lenguaje expresivo</w:t>
      </w:r>
      <w:r>
        <w:rPr>
          <w:rFonts w:ascii="Times New Roman" w:hAnsi="Times New Roman"/>
          <w:lang w:val="es-ES_tradnl"/>
        </w:rPr>
        <w:t xml:space="preserve"> de los estudiantes bilingües: </w:t>
      </w:r>
      <w:r w:rsidR="00EB108E">
        <w:rPr>
          <w:rFonts w:ascii="Times New Roman" w:hAnsi="Times New Roman"/>
          <w:lang w:val="es-ES_tradnl"/>
        </w:rPr>
        <w:t>E</w:t>
      </w:r>
      <w:r w:rsidRPr="00DE2813">
        <w:rPr>
          <w:rFonts w:ascii="Times New Roman" w:hAnsi="Times New Roman"/>
          <w:lang w:val="es-ES_tradnl"/>
        </w:rPr>
        <w:t>spañol</w:t>
      </w:r>
    </w:p>
    <w:p w14:paraId="0202F937" w14:textId="77777777" w:rsidR="004F022E" w:rsidRPr="00DE2813" w:rsidRDefault="004F022E" w:rsidP="00097FB6">
      <w:pPr>
        <w:tabs>
          <w:tab w:val="left" w:pos="3640"/>
        </w:tabs>
        <w:spacing w:line="360" w:lineRule="auto"/>
        <w:jc w:val="center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>Años escolares PK–</w:t>
      </w:r>
      <w:r w:rsidRPr="00DE2813">
        <w:rPr>
          <w:rFonts w:ascii="Times New Roman" w:hAnsi="Times New Roman"/>
          <w:lang w:val="es-ES_tradnl"/>
        </w:rPr>
        <w:t>2</w:t>
      </w:r>
    </w:p>
    <w:bookmarkEnd w:id="0"/>
    <w:p w14:paraId="471F6F5F" w14:textId="77777777" w:rsidR="004F022E" w:rsidRPr="00CC5073" w:rsidRDefault="004F022E" w:rsidP="004F022E">
      <w:pPr>
        <w:tabs>
          <w:tab w:val="left" w:pos="3640"/>
        </w:tabs>
        <w:spacing w:line="360" w:lineRule="auto"/>
        <w:rPr>
          <w:rFonts w:ascii="Times New Roman" w:hAnsi="Times New Roman"/>
          <w:lang w:val="es-ES_tradnl"/>
        </w:rPr>
      </w:pPr>
      <w:r w:rsidRPr="00CC5073">
        <w:rPr>
          <w:rFonts w:ascii="Times New Roman" w:hAnsi="Times New Roman"/>
          <w:lang w:val="es-ES_tradnl"/>
        </w:rPr>
        <w:t>Nombre del estudiante: ___________________________________</w:t>
      </w:r>
      <w:r>
        <w:rPr>
          <w:rFonts w:ascii="Times New Roman" w:hAnsi="Times New Roman"/>
          <w:lang w:val="es-ES_tradnl"/>
        </w:rPr>
        <w:t xml:space="preserve"> </w:t>
      </w:r>
      <w:r w:rsidRPr="00CC5073">
        <w:rPr>
          <w:rFonts w:ascii="Times New Roman" w:hAnsi="Times New Roman"/>
          <w:lang w:val="es-ES_tradnl"/>
        </w:rPr>
        <w:t>Fecha:______________________________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18"/>
        <w:gridCol w:w="6660"/>
        <w:gridCol w:w="4590"/>
      </w:tblGrid>
      <w:tr w:rsidR="004F022E" w:rsidRPr="00CC5073" w14:paraId="0E8D4E22" w14:textId="77777777">
        <w:tc>
          <w:tcPr>
            <w:tcW w:w="2718" w:type="dxa"/>
            <w:shd w:val="clear" w:color="auto" w:fill="E6E6E6"/>
          </w:tcPr>
          <w:p w14:paraId="1C0078CA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  <w:p w14:paraId="5926AFBA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DE2813">
              <w:rPr>
                <w:rFonts w:ascii="Times New Roman" w:hAnsi="Times New Roman"/>
                <w:lang w:val="es-ES_tradnl"/>
              </w:rPr>
              <w:t>Componente</w:t>
            </w:r>
          </w:p>
        </w:tc>
        <w:tc>
          <w:tcPr>
            <w:tcW w:w="6660" w:type="dxa"/>
            <w:shd w:val="clear" w:color="auto" w:fill="E6E6E6"/>
          </w:tcPr>
          <w:p w14:paraId="3C306450" w14:textId="77777777" w:rsidR="004F022E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</w:p>
          <w:p w14:paraId="27852090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DE2813">
              <w:rPr>
                <w:rFonts w:ascii="Times New Roman" w:hAnsi="Times New Roman"/>
                <w:lang w:val="es-ES_tradnl"/>
              </w:rPr>
              <w:t>Circule las descripciones apropiadas</w:t>
            </w:r>
          </w:p>
        </w:tc>
        <w:tc>
          <w:tcPr>
            <w:tcW w:w="4590" w:type="dxa"/>
            <w:shd w:val="clear" w:color="auto" w:fill="E6E6E6"/>
          </w:tcPr>
          <w:p w14:paraId="393F0370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jc w:val="center"/>
              <w:rPr>
                <w:rFonts w:ascii="Times New Roman" w:hAnsi="Times New Roman"/>
                <w:b/>
                <w:lang w:val="es-ES_tradnl"/>
              </w:rPr>
            </w:pPr>
          </w:p>
          <w:p w14:paraId="4173B255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DE2813">
              <w:rPr>
                <w:rFonts w:ascii="Times New Roman" w:hAnsi="Times New Roman"/>
                <w:lang w:val="es-ES_tradnl"/>
              </w:rPr>
              <w:t>Comentarios y evidencia</w:t>
            </w:r>
          </w:p>
        </w:tc>
      </w:tr>
      <w:tr w:rsidR="004F022E" w:rsidRPr="00CC5073" w14:paraId="472E7A25" w14:textId="77777777">
        <w:tc>
          <w:tcPr>
            <w:tcW w:w="2718" w:type="dxa"/>
          </w:tcPr>
          <w:p w14:paraId="5DFB2D5D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</w:p>
          <w:p w14:paraId="08083FC6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Redacción</w:t>
            </w:r>
          </w:p>
          <w:p w14:paraId="3F83537D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(Organización de ideas )</w:t>
            </w:r>
          </w:p>
        </w:tc>
        <w:tc>
          <w:tcPr>
            <w:tcW w:w="6660" w:type="dxa"/>
          </w:tcPr>
          <w:p w14:paraId="2C26C3F8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 xml:space="preserve">La redacción tiene ejemplos de un discurso oral más circular y enfocado en las relaciones donde la narración se salta de una idea a otra pero donde todo está conectado. </w:t>
            </w:r>
          </w:p>
          <w:p w14:paraId="6638C799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</w:p>
          <w:p w14:paraId="2B4E35DD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La redacción tiene ejemplos de un discurso más lineal y enfocado en los acontecimientos que incluye un orden cronológico que quizá integre el uso de palabras transicionales tales como primero, segundo, tercero, etc.</w:t>
            </w:r>
          </w:p>
          <w:p w14:paraId="72752DBB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</w:p>
          <w:p w14:paraId="146865F5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El estudiante puede narrar una experiencia o un acontecimiento de manera completa y lógica que incluye detalles, causa y efecto y secuencia usando el discurso oral del español o del inglés o una combinación.</w:t>
            </w:r>
          </w:p>
        </w:tc>
        <w:tc>
          <w:tcPr>
            <w:tcW w:w="4590" w:type="dxa"/>
          </w:tcPr>
          <w:p w14:paraId="041C27C6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</w:p>
        </w:tc>
      </w:tr>
      <w:tr w:rsidR="004F022E" w:rsidRPr="00CC5073" w14:paraId="63442AE2" w14:textId="77777777">
        <w:tc>
          <w:tcPr>
            <w:tcW w:w="2718" w:type="dxa"/>
          </w:tcPr>
          <w:p w14:paraId="5D10C584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</w:p>
          <w:p w14:paraId="67763E41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Fluidez</w:t>
            </w:r>
          </w:p>
        </w:tc>
        <w:tc>
          <w:tcPr>
            <w:tcW w:w="6660" w:type="dxa"/>
          </w:tcPr>
          <w:p w14:paraId="3E3F33A2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 xml:space="preserve">El lenguaje expresivo fluye naturalmente sin pausas innecesarias </w:t>
            </w:r>
          </w:p>
          <w:p w14:paraId="19AC9689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No hay necesidad de parar para buscar palabras precisas.</w:t>
            </w:r>
          </w:p>
        </w:tc>
        <w:tc>
          <w:tcPr>
            <w:tcW w:w="4590" w:type="dxa"/>
          </w:tcPr>
          <w:p w14:paraId="0D17C097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</w:p>
        </w:tc>
      </w:tr>
      <w:tr w:rsidR="004F022E" w:rsidRPr="00CC5073" w14:paraId="4953DE89" w14:textId="77777777">
        <w:tc>
          <w:tcPr>
            <w:tcW w:w="2718" w:type="dxa"/>
          </w:tcPr>
          <w:p w14:paraId="492E0BA0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Lenguaje informal (vocabulario)</w:t>
            </w:r>
          </w:p>
        </w:tc>
        <w:tc>
          <w:tcPr>
            <w:tcW w:w="6660" w:type="dxa"/>
          </w:tcPr>
          <w:p w14:paraId="0680C5B5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El lenguaje social representa el nivel de desarr</w:t>
            </w:r>
            <w:r>
              <w:rPr>
                <w:rFonts w:ascii="Times New Roman" w:hAnsi="Times New Roman"/>
                <w:lang w:val="es-ES_tradnl"/>
              </w:rPr>
              <w:t xml:space="preserve">ollo y la edad del estudiante. </w:t>
            </w:r>
            <w:r w:rsidRPr="00CC5073">
              <w:rPr>
                <w:rFonts w:ascii="Times New Roman" w:hAnsi="Times New Roman"/>
                <w:lang w:val="es-ES_tradnl"/>
              </w:rPr>
              <w:t>(</w:t>
            </w:r>
            <w:r w:rsidRPr="00CC5073">
              <w:rPr>
                <w:rFonts w:ascii="Times New Roman" w:hAnsi="Times New Roman"/>
                <w:i/>
                <w:lang w:val="es-ES_tradnl"/>
              </w:rPr>
              <w:t xml:space="preserve">No </w:t>
            </w:r>
            <w:proofErr w:type="spellStart"/>
            <w:r w:rsidRPr="00CC5073">
              <w:rPr>
                <w:rFonts w:ascii="Times New Roman" w:hAnsi="Times New Roman"/>
                <w:i/>
                <w:lang w:val="es-ES_tradnl"/>
              </w:rPr>
              <w:t>sabo</w:t>
            </w:r>
            <w:proofErr w:type="spellEnd"/>
            <w:r w:rsidRPr="00CC5073">
              <w:rPr>
                <w:rFonts w:ascii="Times New Roman" w:hAnsi="Times New Roman"/>
                <w:lang w:val="es-ES_tradnl"/>
              </w:rPr>
              <w:t xml:space="preserve"> para niños de 3 a 5 años de edad, por </w:t>
            </w:r>
            <w:r w:rsidRPr="00CC5073">
              <w:rPr>
                <w:rFonts w:ascii="Times New Roman" w:hAnsi="Times New Roman"/>
                <w:lang w:val="es-ES_tradnl"/>
              </w:rPr>
              <w:lastRenderedPageBreak/>
              <w:t>ejemplo)</w:t>
            </w:r>
          </w:p>
          <w:p w14:paraId="152D564C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El lenguaje social puede incluir expresiones no-convencionales del español (arcaísmos como “</w:t>
            </w:r>
            <w:proofErr w:type="spellStart"/>
            <w:r w:rsidRPr="00CC5073">
              <w:rPr>
                <w:rFonts w:ascii="Times New Roman" w:hAnsi="Times New Roman"/>
                <w:lang w:val="es-ES_tradnl"/>
              </w:rPr>
              <w:t>naiden</w:t>
            </w:r>
            <w:proofErr w:type="spellEnd"/>
            <w:r w:rsidRPr="00CC5073">
              <w:rPr>
                <w:rFonts w:ascii="Times New Roman" w:hAnsi="Times New Roman"/>
                <w:lang w:val="es-ES_tradnl"/>
              </w:rPr>
              <w:t>” o “</w:t>
            </w:r>
            <w:proofErr w:type="spellStart"/>
            <w:r w:rsidRPr="00CC5073">
              <w:rPr>
                <w:rFonts w:ascii="Times New Roman" w:hAnsi="Times New Roman"/>
                <w:lang w:val="es-ES_tradnl"/>
              </w:rPr>
              <w:t>pós</w:t>
            </w:r>
            <w:proofErr w:type="spellEnd"/>
            <w:r w:rsidRPr="00CC5073">
              <w:rPr>
                <w:rFonts w:ascii="Times New Roman" w:hAnsi="Times New Roman"/>
                <w:lang w:val="es-ES_tradnl"/>
              </w:rPr>
              <w:t>”; “ira” para “mira”).</w:t>
            </w:r>
          </w:p>
        </w:tc>
        <w:tc>
          <w:tcPr>
            <w:tcW w:w="4590" w:type="dxa"/>
          </w:tcPr>
          <w:p w14:paraId="0754552A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lastRenderedPageBreak/>
              <w:t>Anote ejemplos del uso del lenguaje social del estudiante.</w:t>
            </w:r>
          </w:p>
        </w:tc>
      </w:tr>
      <w:tr w:rsidR="004F022E" w:rsidRPr="00CC5073" w14:paraId="08E1BD10" w14:textId="77777777">
        <w:tc>
          <w:tcPr>
            <w:tcW w:w="2718" w:type="dxa"/>
          </w:tcPr>
          <w:p w14:paraId="318D030A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lastRenderedPageBreak/>
              <w:t>Lenguaje formal</w:t>
            </w:r>
          </w:p>
          <w:p w14:paraId="09BA653C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(vocabulario)</w:t>
            </w:r>
          </w:p>
        </w:tc>
        <w:tc>
          <w:tcPr>
            <w:tcW w:w="6660" w:type="dxa"/>
          </w:tcPr>
          <w:p w14:paraId="4ECA7707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El estudiante desarrolla lenguaje académico por medio del uso de banco de</w:t>
            </w:r>
            <w:r>
              <w:rPr>
                <w:rFonts w:ascii="Times New Roman" w:hAnsi="Times New Roman"/>
                <w:lang w:val="es-ES_tradnl"/>
              </w:rPr>
              <w:t xml:space="preserve"> palabras, frases claves, etc.</w:t>
            </w:r>
          </w:p>
          <w:p w14:paraId="48452547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</w:p>
          <w:p w14:paraId="1FB3F78D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El estudiante usa el lenguaje académico que ha aprendido en diferentes contextos escolares.</w:t>
            </w:r>
          </w:p>
        </w:tc>
        <w:tc>
          <w:tcPr>
            <w:tcW w:w="4590" w:type="dxa"/>
          </w:tcPr>
          <w:p w14:paraId="562C9F22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Anote lo</w:t>
            </w:r>
            <w:r>
              <w:rPr>
                <w:rFonts w:ascii="Times New Roman" w:hAnsi="Times New Roman"/>
                <w:lang w:val="es-ES_tradnl"/>
              </w:rPr>
              <w:t xml:space="preserve">s apoyos y las estrategias que </w:t>
            </w:r>
            <w:r w:rsidRPr="00CC5073">
              <w:rPr>
                <w:rFonts w:ascii="Times New Roman" w:hAnsi="Times New Roman"/>
                <w:lang w:val="es-ES_tradnl"/>
              </w:rPr>
              <w:t>fomentan el aprendizaje del lenguaje académico.</w:t>
            </w:r>
          </w:p>
        </w:tc>
      </w:tr>
      <w:tr w:rsidR="004F022E" w:rsidRPr="00CC5073" w14:paraId="60025103" w14:textId="77777777">
        <w:tc>
          <w:tcPr>
            <w:tcW w:w="2718" w:type="dxa"/>
          </w:tcPr>
          <w:p w14:paraId="571EBCE4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Uso de los dos lenguajes</w:t>
            </w:r>
          </w:p>
        </w:tc>
        <w:tc>
          <w:tcPr>
            <w:tcW w:w="6660" w:type="dxa"/>
          </w:tcPr>
          <w:p w14:paraId="51416BDE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El lenguaje social representa el uso de la creatividad lingüística que representa el contexto socio-cul</w:t>
            </w:r>
            <w:r>
              <w:rPr>
                <w:rFonts w:ascii="Times New Roman" w:hAnsi="Times New Roman"/>
                <w:lang w:val="es-ES_tradnl"/>
              </w:rPr>
              <w:t xml:space="preserve">tural bilingüe del estudiante. </w:t>
            </w:r>
            <w:r w:rsidRPr="00CC5073">
              <w:rPr>
                <w:rFonts w:ascii="Times New Roman" w:hAnsi="Times New Roman"/>
                <w:lang w:val="es-ES_tradnl"/>
              </w:rPr>
              <w:t>Por ejemplo, puede usar:</w:t>
            </w:r>
          </w:p>
          <w:p w14:paraId="55D3F2D9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ind w:left="720"/>
              <w:rPr>
                <w:rFonts w:ascii="Times New Roman" w:hAnsi="Times New Roman"/>
                <w:b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 xml:space="preserve">Cambio de código: Tengo el </w:t>
            </w:r>
            <w:proofErr w:type="spellStart"/>
            <w:r w:rsidRPr="00CC5073">
              <w:rPr>
                <w:rFonts w:ascii="Times New Roman" w:hAnsi="Times New Roman"/>
                <w:lang w:val="es-ES_tradnl"/>
              </w:rPr>
              <w:t>ball</w:t>
            </w:r>
            <w:proofErr w:type="spellEnd"/>
            <w:r w:rsidRPr="00CC5073">
              <w:rPr>
                <w:rFonts w:ascii="Times New Roman" w:hAnsi="Times New Roman"/>
                <w:lang w:val="es-ES_tradnl"/>
              </w:rPr>
              <w:t xml:space="preserve"> </w:t>
            </w:r>
            <w:proofErr w:type="spellStart"/>
            <w:r w:rsidRPr="00CC5073">
              <w:rPr>
                <w:rFonts w:ascii="Times New Roman" w:hAnsi="Times New Roman"/>
                <w:lang w:val="es-ES_tradnl"/>
              </w:rPr>
              <w:t>right</w:t>
            </w:r>
            <w:proofErr w:type="spellEnd"/>
            <w:r w:rsidRPr="00CC5073">
              <w:rPr>
                <w:rFonts w:ascii="Times New Roman" w:hAnsi="Times New Roman"/>
                <w:lang w:val="es-ES_tradnl"/>
              </w:rPr>
              <w:t xml:space="preserve"> </w:t>
            </w:r>
            <w:proofErr w:type="spellStart"/>
            <w:r w:rsidRPr="00CC5073">
              <w:rPr>
                <w:rFonts w:ascii="Times New Roman" w:hAnsi="Times New Roman"/>
                <w:lang w:val="es-ES_tradnl"/>
              </w:rPr>
              <w:t>here</w:t>
            </w:r>
            <w:proofErr w:type="spellEnd"/>
            <w:r w:rsidRPr="00CC5073">
              <w:rPr>
                <w:rFonts w:ascii="Times New Roman" w:hAnsi="Times New Roman"/>
                <w:lang w:val="es-ES_tradnl"/>
              </w:rPr>
              <w:t>.</w:t>
            </w:r>
          </w:p>
          <w:p w14:paraId="3F184872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ind w:left="720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 xml:space="preserve">Préstamo léxico: </w:t>
            </w:r>
            <w:proofErr w:type="spellStart"/>
            <w:r w:rsidRPr="00CC5073">
              <w:rPr>
                <w:rFonts w:ascii="Times New Roman" w:hAnsi="Times New Roman"/>
                <w:lang w:val="es-ES_tradnl"/>
              </w:rPr>
              <w:t>Socketines</w:t>
            </w:r>
            <w:proofErr w:type="spellEnd"/>
            <w:r w:rsidRPr="00CC5073">
              <w:rPr>
                <w:rFonts w:ascii="Times New Roman" w:hAnsi="Times New Roman"/>
                <w:lang w:val="es-ES_tradnl"/>
              </w:rPr>
              <w:t xml:space="preserve">; </w:t>
            </w:r>
            <w:proofErr w:type="spellStart"/>
            <w:r w:rsidRPr="00CC5073">
              <w:rPr>
                <w:rFonts w:ascii="Times New Roman" w:hAnsi="Times New Roman"/>
                <w:lang w:val="es-ES_tradnl"/>
              </w:rPr>
              <w:t>wáchale</w:t>
            </w:r>
            <w:proofErr w:type="spellEnd"/>
          </w:p>
          <w:p w14:paraId="21A0208C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ind w:left="720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Extensión semántica: Vamos a comprar las groserías.</w:t>
            </w:r>
          </w:p>
          <w:p w14:paraId="170D5A40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ind w:left="720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 xml:space="preserve">Calco: Vamos a mi tío </w:t>
            </w:r>
            <w:proofErr w:type="spellStart"/>
            <w:r w:rsidRPr="00CC5073">
              <w:rPr>
                <w:rFonts w:ascii="Times New Roman" w:hAnsi="Times New Roman"/>
                <w:lang w:val="es-ES_tradnl"/>
              </w:rPr>
              <w:t>Mario’s</w:t>
            </w:r>
            <w:proofErr w:type="spellEnd"/>
            <w:r w:rsidRPr="00CC5073">
              <w:rPr>
                <w:rFonts w:ascii="Times New Roman" w:hAnsi="Times New Roman"/>
                <w:lang w:val="es-ES_tradnl"/>
              </w:rPr>
              <w:t xml:space="preserve"> casa.</w:t>
            </w:r>
          </w:p>
        </w:tc>
        <w:tc>
          <w:tcPr>
            <w:tcW w:w="4590" w:type="dxa"/>
          </w:tcPr>
          <w:p w14:paraId="764C1659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Anote ejemplos de cómo el estudiante usa ambos recursos lingüísticos</w:t>
            </w:r>
          </w:p>
        </w:tc>
      </w:tr>
      <w:tr w:rsidR="004F022E" w:rsidRPr="00CC5073" w14:paraId="5D60BC41" w14:textId="77777777">
        <w:tc>
          <w:tcPr>
            <w:tcW w:w="2718" w:type="dxa"/>
          </w:tcPr>
          <w:p w14:paraId="53EAC385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Conocimiento metalingüístico</w:t>
            </w:r>
          </w:p>
        </w:tc>
        <w:tc>
          <w:tcPr>
            <w:tcW w:w="6660" w:type="dxa"/>
          </w:tcPr>
          <w:p w14:paraId="705BA094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El estudiante sabe distinguir entre el inglés y el español.</w:t>
            </w:r>
          </w:p>
          <w:p w14:paraId="062C30C0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Cuando se le pide al estudiante que hable en un lenguaje, puede hacerlo.</w:t>
            </w:r>
          </w:p>
          <w:p w14:paraId="6856E747" w14:textId="77777777" w:rsidR="004F022E" w:rsidRPr="00DE281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El estudiante empieza a distinguir entre el uso del lenguaje social (la troca) y el uso del lenguaje académico (el camión de carga).</w:t>
            </w:r>
          </w:p>
        </w:tc>
        <w:tc>
          <w:tcPr>
            <w:tcW w:w="4590" w:type="dxa"/>
          </w:tcPr>
          <w:p w14:paraId="68F36B1A" w14:textId="77777777" w:rsidR="004F022E" w:rsidRPr="00CC5073" w:rsidRDefault="004F022E" w:rsidP="004F022E">
            <w:pPr>
              <w:tabs>
                <w:tab w:val="left" w:pos="3640"/>
              </w:tabs>
              <w:spacing w:line="360" w:lineRule="auto"/>
              <w:rPr>
                <w:rFonts w:ascii="Times New Roman" w:hAnsi="Times New Roman"/>
                <w:lang w:val="es-ES_tradnl"/>
              </w:rPr>
            </w:pPr>
            <w:r w:rsidRPr="00CC5073">
              <w:rPr>
                <w:rFonts w:ascii="Times New Roman" w:hAnsi="Times New Roman"/>
                <w:lang w:val="es-ES_tradnl"/>
              </w:rPr>
              <w:t>Anote ejemplos u otras observaciones.</w:t>
            </w:r>
          </w:p>
        </w:tc>
      </w:tr>
    </w:tbl>
    <w:p w14:paraId="6322F476" w14:textId="77777777" w:rsidR="004F022E" w:rsidRPr="00CC5073" w:rsidRDefault="004F022E" w:rsidP="004F022E">
      <w:pPr>
        <w:spacing w:line="360" w:lineRule="auto"/>
        <w:rPr>
          <w:rFonts w:ascii="Times New Roman" w:hAnsi="Times New Roman"/>
          <w:b/>
        </w:rPr>
      </w:pPr>
    </w:p>
    <w:p w14:paraId="4F092D74" w14:textId="77777777" w:rsidR="004F022E" w:rsidRPr="00CC5073" w:rsidRDefault="004F022E" w:rsidP="004F022E">
      <w:pPr>
        <w:spacing w:line="360" w:lineRule="auto"/>
        <w:rPr>
          <w:rFonts w:ascii="Times New Roman" w:hAnsi="Times New Roman"/>
          <w:b/>
        </w:rPr>
      </w:pPr>
    </w:p>
    <w:p w14:paraId="2E21AC22" w14:textId="77777777" w:rsidR="008F3C61" w:rsidRDefault="00097FB6" w:rsidP="004F022E">
      <w:pPr>
        <w:spacing w:line="360" w:lineRule="auto"/>
      </w:pPr>
    </w:p>
    <w:sectPr w:rsidR="008F3C61" w:rsidSect="004F022E">
      <w:pgSz w:w="15840" w:h="122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4F022E"/>
    <w:rsid w:val="00097FB6"/>
    <w:rsid w:val="001459BA"/>
    <w:rsid w:val="004F022E"/>
    <w:rsid w:val="00EB10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272A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22E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4F022E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4F022E"/>
  </w:style>
  <w:style w:type="character" w:customStyle="1" w:styleId="CommentTextChar">
    <w:name w:val="Comment Text Char"/>
    <w:basedOn w:val="DefaultParagraphFont"/>
    <w:link w:val="CommentText"/>
    <w:uiPriority w:val="99"/>
    <w:rsid w:val="004F022E"/>
    <w:rPr>
      <w:rFonts w:ascii="Cambria" w:eastAsia="Cambria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22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22E"/>
    <w:rPr>
      <w:rFonts w:ascii="Lucida Grande" w:eastAsia="Cambria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368</Words>
  <Characters>2098</Characters>
  <Application>Microsoft Macintosh Word</Application>
  <DocSecurity>0</DocSecurity>
  <Lines>17</Lines>
  <Paragraphs>4</Paragraphs>
  <ScaleCrop>false</ScaleCrop>
  <Company>IRC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3</cp:revision>
  <cp:lastPrinted>2012-10-23T11:46:00Z</cp:lastPrinted>
  <dcterms:created xsi:type="dcterms:W3CDTF">2012-10-09T02:41:00Z</dcterms:created>
  <dcterms:modified xsi:type="dcterms:W3CDTF">2017-10-11T22:11:00Z</dcterms:modified>
</cp:coreProperties>
</file>